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2836" w14:textId="77777777" w:rsidR="00A15DE7" w:rsidRPr="00A15DE7" w:rsidRDefault="00A15DE7" w:rsidP="00A15DE7">
      <w:pPr>
        <w:shd w:val="clear" w:color="auto" w:fill="FFFFFF"/>
        <w:spacing w:before="199" w:after="199"/>
        <w:jc w:val="center"/>
        <w:outlineLvl w:val="2"/>
        <w:rPr>
          <w:rFonts w:ascii="Montserrat" w:eastAsia="Times New Roman" w:hAnsi="Montserrat" w:cs="Times New Roman"/>
          <w:b/>
          <w:bCs/>
          <w:color w:val="333333"/>
          <w:sz w:val="28"/>
          <w:szCs w:val="28"/>
        </w:rPr>
      </w:pPr>
      <w:r w:rsidRPr="00A15DE7">
        <w:rPr>
          <w:rFonts w:ascii="Montserrat" w:eastAsia="Times New Roman" w:hAnsi="Montserrat" w:cs="Times New Roman"/>
          <w:b/>
          <w:bCs/>
          <w:color w:val="333333"/>
          <w:sz w:val="28"/>
          <w:szCs w:val="28"/>
        </w:rPr>
        <w:t>Title 14 Education</w:t>
      </w:r>
    </w:p>
    <w:p w14:paraId="75C56752" w14:textId="77777777" w:rsidR="00A15DE7" w:rsidRPr="00A15DE7" w:rsidRDefault="00A15DE7" w:rsidP="00A15DE7">
      <w:pPr>
        <w:shd w:val="clear" w:color="auto" w:fill="FFFFFF"/>
        <w:spacing w:before="199" w:after="199"/>
        <w:jc w:val="center"/>
        <w:outlineLvl w:val="2"/>
        <w:rPr>
          <w:rFonts w:ascii="Montserrat" w:eastAsia="Times New Roman" w:hAnsi="Montserrat" w:cs="Times New Roman"/>
          <w:b/>
          <w:bCs/>
          <w:color w:val="333333"/>
          <w:sz w:val="28"/>
          <w:szCs w:val="28"/>
        </w:rPr>
      </w:pPr>
      <w:r w:rsidRPr="00A15DE7">
        <w:rPr>
          <w:rFonts w:ascii="Montserrat" w:eastAsia="Times New Roman" w:hAnsi="Montserrat" w:cs="Arial"/>
          <w:b/>
          <w:bCs/>
          <w:color w:val="333333"/>
          <w:sz w:val="33"/>
          <w:szCs w:val="33"/>
        </w:rPr>
        <w:t>1500 Professional Standards Board</w:t>
      </w:r>
    </w:p>
    <w:p w14:paraId="3119AE79" w14:textId="77777777" w:rsidR="00A15DE7" w:rsidRPr="00A15DE7" w:rsidRDefault="00A15DE7" w:rsidP="00A15DE7">
      <w:pPr>
        <w:shd w:val="clear" w:color="auto" w:fill="FFFFFF"/>
        <w:spacing w:before="269" w:after="269"/>
        <w:jc w:val="center"/>
        <w:rPr>
          <w:rFonts w:ascii="Arial" w:eastAsia="Times New Roman" w:hAnsi="Arial" w:cs="Arial"/>
          <w:b/>
          <w:bCs/>
          <w:color w:val="333333"/>
          <w:sz w:val="20"/>
          <w:szCs w:val="20"/>
        </w:rPr>
      </w:pPr>
      <w:bookmarkStart w:id="0" w:name="P0_0"/>
      <w:bookmarkEnd w:id="0"/>
      <w:r w:rsidRPr="00A15DE7">
        <w:rPr>
          <w:rFonts w:ascii="Arial" w:eastAsia="Times New Roman" w:hAnsi="Arial" w:cs="Arial"/>
          <w:b/>
          <w:bCs/>
          <w:color w:val="333333"/>
          <w:sz w:val="20"/>
          <w:szCs w:val="20"/>
        </w:rPr>
        <w:t>1500 Professional Standards Board</w:t>
      </w:r>
    </w:p>
    <w:p w14:paraId="41473132" w14:textId="77777777" w:rsidR="00A15DE7" w:rsidRPr="00A15DE7" w:rsidRDefault="00A15DE7" w:rsidP="00A15DE7">
      <w:pPr>
        <w:shd w:val="clear" w:color="auto" w:fill="FFFFFF"/>
        <w:spacing w:before="269" w:after="269"/>
        <w:jc w:val="center"/>
        <w:rPr>
          <w:rFonts w:ascii="Arial" w:eastAsia="Times New Roman" w:hAnsi="Arial" w:cs="Arial"/>
          <w:b/>
          <w:bCs/>
          <w:color w:val="333333"/>
          <w:sz w:val="27"/>
          <w:szCs w:val="27"/>
        </w:rPr>
      </w:pPr>
      <w:bookmarkStart w:id="1" w:name="P2_34"/>
      <w:bookmarkEnd w:id="1"/>
      <w:r w:rsidRPr="00A15DE7">
        <w:rPr>
          <w:rFonts w:ascii="Open Sans" w:eastAsia="Times New Roman" w:hAnsi="Open Sans" w:cs="Open Sans"/>
          <w:b/>
          <w:bCs/>
          <w:color w:val="333333"/>
          <w:sz w:val="27"/>
          <w:szCs w:val="27"/>
        </w:rPr>
        <w:t>1597 Delaware Professional Teaching Standards</w:t>
      </w:r>
    </w:p>
    <w:p w14:paraId="633731D0" w14:textId="77777777" w:rsidR="00A15DE7" w:rsidRPr="00A15DE7" w:rsidRDefault="00A15DE7" w:rsidP="00A15DE7">
      <w:pPr>
        <w:shd w:val="clear" w:color="auto" w:fill="FFFFFF"/>
        <w:spacing w:before="269" w:after="269"/>
        <w:ind w:firstLine="240"/>
        <w:jc w:val="both"/>
        <w:rPr>
          <w:rFonts w:ascii="Arial" w:eastAsia="Times New Roman" w:hAnsi="Arial" w:cs="Arial"/>
          <w:color w:val="333333"/>
          <w:sz w:val="20"/>
          <w:szCs w:val="20"/>
        </w:rPr>
      </w:pPr>
      <w:r w:rsidRPr="00A15DE7">
        <w:rPr>
          <w:rFonts w:ascii="Arial" w:eastAsia="Times New Roman" w:hAnsi="Arial" w:cs="Arial"/>
          <w:b/>
          <w:bCs/>
          <w:color w:val="333333"/>
          <w:sz w:val="20"/>
          <w:szCs w:val="20"/>
        </w:rPr>
        <w:t>Non-regulatory note:</w:t>
      </w:r>
      <w:r w:rsidRPr="00A15DE7">
        <w:rPr>
          <w:rFonts w:ascii="Arial" w:eastAsia="Times New Roman" w:hAnsi="Arial" w:cs="Arial"/>
          <w:color w:val="333333"/>
          <w:sz w:val="20"/>
          <w:szCs w:val="20"/>
        </w:rPr>
        <w:t> Approval of Teacher Education programs is governed by 14 </w:t>
      </w:r>
      <w:r w:rsidRPr="00A15DE7">
        <w:rPr>
          <w:rFonts w:ascii="Arial" w:eastAsia="Times New Roman" w:hAnsi="Arial" w:cs="Arial"/>
          <w:b/>
          <w:bCs/>
          <w:color w:val="333333"/>
          <w:sz w:val="20"/>
          <w:szCs w:val="20"/>
        </w:rPr>
        <w:t>DE Admin. Code</w:t>
      </w:r>
      <w:r w:rsidRPr="00A15DE7">
        <w:rPr>
          <w:rFonts w:ascii="Arial" w:eastAsia="Times New Roman" w:hAnsi="Arial" w:cs="Arial"/>
          <w:color w:val="333333"/>
          <w:sz w:val="20"/>
          <w:szCs w:val="20"/>
        </w:rPr>
        <w:t> 290 Approval of Educator Preparation Programs. Teacher evaluations are governed by 14 </w:t>
      </w:r>
      <w:r w:rsidRPr="00A15DE7">
        <w:rPr>
          <w:rFonts w:ascii="Arial" w:eastAsia="Times New Roman" w:hAnsi="Arial" w:cs="Arial"/>
          <w:b/>
          <w:bCs/>
          <w:color w:val="333333"/>
          <w:sz w:val="20"/>
          <w:szCs w:val="20"/>
        </w:rPr>
        <w:t>DE Admin. Code</w:t>
      </w:r>
      <w:r w:rsidRPr="00A15DE7">
        <w:rPr>
          <w:rFonts w:ascii="Arial" w:eastAsia="Times New Roman" w:hAnsi="Arial" w:cs="Arial"/>
          <w:color w:val="333333"/>
          <w:sz w:val="20"/>
          <w:szCs w:val="20"/>
        </w:rPr>
        <w:t> 106A Teacher Appraisal Process Delaware Performance Appraisal System (DPAS II) Revised.</w:t>
      </w:r>
    </w:p>
    <w:p w14:paraId="577EF2EB"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1.0 Content</w:t>
      </w:r>
    </w:p>
    <w:p w14:paraId="3C3A12F7"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1.1 The Delaware Professional Teaching Standards shall serve as the common principles and foundations of teaching practice for Delaware public school educators in accordance with 14 </w:t>
      </w:r>
      <w:proofErr w:type="spellStart"/>
      <w:r w:rsidRPr="00A15DE7">
        <w:rPr>
          <w:rFonts w:ascii="Arial" w:eastAsia="Times New Roman" w:hAnsi="Arial" w:cs="Arial"/>
          <w:b/>
          <w:bCs/>
          <w:color w:val="333333"/>
          <w:sz w:val="20"/>
          <w:szCs w:val="20"/>
        </w:rPr>
        <w:t>Del.C</w:t>
      </w:r>
      <w:proofErr w:type="spellEnd"/>
      <w:r w:rsidRPr="00A15DE7">
        <w:rPr>
          <w:rFonts w:ascii="Arial" w:eastAsia="Times New Roman" w:hAnsi="Arial" w:cs="Arial"/>
          <w:b/>
          <w:bCs/>
          <w:color w:val="333333"/>
          <w:sz w:val="20"/>
          <w:szCs w:val="20"/>
        </w:rPr>
        <w:t>.</w:t>
      </w:r>
      <w:r w:rsidRPr="00A15DE7">
        <w:rPr>
          <w:rFonts w:ascii="Arial" w:eastAsia="Times New Roman" w:hAnsi="Arial" w:cs="Arial"/>
          <w:color w:val="333333"/>
          <w:sz w:val="20"/>
          <w:szCs w:val="20"/>
        </w:rPr>
        <w:t> §§1201 and 1205(b).</w:t>
      </w:r>
    </w:p>
    <w:p w14:paraId="1AF64F4C"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1.2 The Council of Chief State School Officers’ (CCSSO) Interstate Teacher Assessment and Support Consortium (</w:t>
      </w:r>
      <w:proofErr w:type="spellStart"/>
      <w:r w:rsidRPr="00A15DE7">
        <w:rPr>
          <w:rFonts w:ascii="Arial" w:eastAsia="Times New Roman" w:hAnsi="Arial" w:cs="Arial"/>
          <w:color w:val="333333"/>
          <w:sz w:val="20"/>
          <w:szCs w:val="20"/>
        </w:rPr>
        <w:t>InTASC</w:t>
      </w:r>
      <w:proofErr w:type="spellEnd"/>
      <w:r w:rsidRPr="00A15DE7">
        <w:rPr>
          <w:rFonts w:ascii="Arial" w:eastAsia="Times New Roman" w:hAnsi="Arial" w:cs="Arial"/>
          <w:color w:val="333333"/>
          <w:sz w:val="20"/>
          <w:szCs w:val="20"/>
        </w:rPr>
        <w:t>) </w:t>
      </w:r>
      <w:r w:rsidRPr="00A15DE7">
        <w:rPr>
          <w:rFonts w:ascii="Arial" w:eastAsia="Times New Roman" w:hAnsi="Arial" w:cs="Arial"/>
          <w:i/>
          <w:iCs/>
          <w:color w:val="333333"/>
          <w:sz w:val="20"/>
          <w:szCs w:val="20"/>
        </w:rPr>
        <w:t>Model Core Teaching Standards</w:t>
      </w:r>
      <w:r w:rsidRPr="00A15DE7">
        <w:rPr>
          <w:rFonts w:ascii="Arial" w:eastAsia="Times New Roman" w:hAnsi="Arial" w:cs="Arial"/>
          <w:color w:val="333333"/>
          <w:sz w:val="20"/>
          <w:szCs w:val="20"/>
        </w:rPr>
        <w:t> outline what educators should know and be able to do to ensure every K-12 student reaches the goal of being ready to enter college or the workforce in today’s world.</w:t>
      </w:r>
    </w:p>
    <w:p w14:paraId="764CC79C"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1.3 In accordance with 14 </w:t>
      </w:r>
      <w:proofErr w:type="spellStart"/>
      <w:r w:rsidRPr="00A15DE7">
        <w:rPr>
          <w:rFonts w:ascii="Arial" w:eastAsia="Times New Roman" w:hAnsi="Arial" w:cs="Arial"/>
          <w:b/>
          <w:bCs/>
          <w:color w:val="333333"/>
          <w:sz w:val="20"/>
          <w:szCs w:val="20"/>
        </w:rPr>
        <w:t>Del.C</w:t>
      </w:r>
      <w:proofErr w:type="spellEnd"/>
      <w:r w:rsidRPr="00A15DE7">
        <w:rPr>
          <w:rFonts w:ascii="Arial" w:eastAsia="Times New Roman" w:hAnsi="Arial" w:cs="Arial"/>
          <w:b/>
          <w:bCs/>
          <w:color w:val="333333"/>
          <w:sz w:val="20"/>
          <w:szCs w:val="20"/>
        </w:rPr>
        <w:t>.</w:t>
      </w:r>
      <w:r w:rsidRPr="00A15DE7">
        <w:rPr>
          <w:rFonts w:ascii="Arial" w:eastAsia="Times New Roman" w:hAnsi="Arial" w:cs="Arial"/>
          <w:color w:val="333333"/>
          <w:sz w:val="20"/>
          <w:szCs w:val="20"/>
        </w:rPr>
        <w:t xml:space="preserve"> §§1201 and 1205 (b), the </w:t>
      </w:r>
      <w:proofErr w:type="spellStart"/>
      <w:r w:rsidRPr="00A15DE7">
        <w:rPr>
          <w:rFonts w:ascii="Arial" w:eastAsia="Times New Roman" w:hAnsi="Arial" w:cs="Arial"/>
          <w:color w:val="333333"/>
          <w:sz w:val="20"/>
          <w:szCs w:val="20"/>
        </w:rPr>
        <w:t>InTASC</w:t>
      </w:r>
      <w:proofErr w:type="spellEnd"/>
      <w:r w:rsidRPr="00A15DE7">
        <w:rPr>
          <w:rFonts w:ascii="Arial" w:eastAsia="Times New Roman" w:hAnsi="Arial" w:cs="Arial"/>
          <w:i/>
          <w:iCs/>
          <w:color w:val="333333"/>
          <w:sz w:val="20"/>
          <w:szCs w:val="20"/>
        </w:rPr>
        <w:t> Model Core Teaching Standards</w:t>
      </w:r>
      <w:r w:rsidRPr="00A15DE7">
        <w:rPr>
          <w:rFonts w:ascii="Arial" w:eastAsia="Times New Roman" w:hAnsi="Arial" w:cs="Arial"/>
          <w:color w:val="333333"/>
          <w:sz w:val="20"/>
          <w:szCs w:val="20"/>
        </w:rPr>
        <w:t xml:space="preserve"> (CCSSO, 2011) are hereby incorporated by reference and adopted as Delaware's Professional Teaching Standards. </w:t>
      </w:r>
      <w:proofErr w:type="spellStart"/>
      <w:r w:rsidRPr="00A15DE7">
        <w:rPr>
          <w:rFonts w:ascii="Arial" w:eastAsia="Times New Roman" w:hAnsi="Arial" w:cs="Arial"/>
          <w:color w:val="333333"/>
          <w:sz w:val="20"/>
          <w:szCs w:val="20"/>
        </w:rPr>
        <w:t>InTASC</w:t>
      </w:r>
      <w:proofErr w:type="spellEnd"/>
      <w:r w:rsidRPr="00A15DE7">
        <w:rPr>
          <w:rFonts w:ascii="Arial" w:eastAsia="Times New Roman" w:hAnsi="Arial" w:cs="Arial"/>
          <w:i/>
          <w:iCs/>
          <w:color w:val="333333"/>
          <w:sz w:val="20"/>
          <w:szCs w:val="20"/>
        </w:rPr>
        <w:t> Model Core Teaching Standards </w:t>
      </w:r>
      <w:r w:rsidRPr="00A15DE7">
        <w:rPr>
          <w:rFonts w:ascii="Arial" w:eastAsia="Times New Roman" w:hAnsi="Arial" w:cs="Arial"/>
          <w:color w:val="333333"/>
          <w:sz w:val="20"/>
          <w:szCs w:val="20"/>
        </w:rPr>
        <w:t>outline the common principles and foundations of teaching practice that cut across all subject areas and grade levels and that are necessary to improve student achievement.</w:t>
      </w:r>
    </w:p>
    <w:p w14:paraId="7A92A3EE"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 xml:space="preserve">1.4 An overview of the Standards </w:t>
      </w:r>
      <w:proofErr w:type="gramStart"/>
      <w:r w:rsidRPr="00A15DE7">
        <w:rPr>
          <w:rFonts w:ascii="Arial" w:eastAsia="Times New Roman" w:hAnsi="Arial" w:cs="Arial"/>
          <w:color w:val="333333"/>
          <w:sz w:val="20"/>
          <w:szCs w:val="20"/>
        </w:rPr>
        <w:t>are</w:t>
      </w:r>
      <w:proofErr w:type="gramEnd"/>
      <w:r w:rsidRPr="00A15DE7">
        <w:rPr>
          <w:rFonts w:ascii="Arial" w:eastAsia="Times New Roman" w:hAnsi="Arial" w:cs="Arial"/>
          <w:color w:val="333333"/>
          <w:sz w:val="20"/>
          <w:szCs w:val="20"/>
        </w:rPr>
        <w:t xml:space="preserve"> set forth within. In-depth descriptions, contextual explanations, examples and more specific criteria and guidance is provided in the complete set of standards as published in the</w:t>
      </w:r>
      <w:r w:rsidRPr="00A15DE7">
        <w:rPr>
          <w:rFonts w:ascii="Arial" w:eastAsia="Times New Roman" w:hAnsi="Arial" w:cs="Arial"/>
          <w:i/>
          <w:iCs/>
          <w:color w:val="333333"/>
          <w:sz w:val="20"/>
          <w:szCs w:val="20"/>
        </w:rPr>
        <w:t> </w:t>
      </w:r>
      <w:proofErr w:type="spellStart"/>
      <w:r w:rsidRPr="00A15DE7">
        <w:rPr>
          <w:rFonts w:ascii="Arial" w:eastAsia="Times New Roman" w:hAnsi="Arial" w:cs="Arial"/>
          <w:i/>
          <w:iCs/>
          <w:color w:val="333333"/>
          <w:sz w:val="20"/>
          <w:szCs w:val="20"/>
        </w:rPr>
        <w:t>InTASC</w:t>
      </w:r>
      <w:proofErr w:type="spellEnd"/>
      <w:r w:rsidRPr="00A15DE7">
        <w:rPr>
          <w:rFonts w:ascii="Arial" w:eastAsia="Times New Roman" w:hAnsi="Arial" w:cs="Arial"/>
          <w:i/>
          <w:iCs/>
          <w:color w:val="333333"/>
          <w:sz w:val="20"/>
          <w:szCs w:val="20"/>
        </w:rPr>
        <w:t xml:space="preserve"> Model Core Teaching Standards</w:t>
      </w:r>
      <w:r w:rsidRPr="00A15DE7">
        <w:rPr>
          <w:rFonts w:ascii="Arial" w:eastAsia="Times New Roman" w:hAnsi="Arial" w:cs="Arial"/>
          <w:color w:val="333333"/>
          <w:sz w:val="20"/>
          <w:szCs w:val="20"/>
        </w:rPr>
        <w:t> (CCSSO, 2011).</w:t>
      </w:r>
    </w:p>
    <w:p w14:paraId="66A7CFD4"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2.0 Learner Development</w:t>
      </w:r>
    </w:p>
    <w:p w14:paraId="4EDCE749"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BA1AB3F"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3.0 Learning Differences</w:t>
      </w:r>
    </w:p>
    <w:p w14:paraId="54334D8D"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uses understanding of individual differences and diverse cultures and communities to ensure inclusive learning environments that enable each learner to meet high standards.</w:t>
      </w:r>
    </w:p>
    <w:p w14:paraId="4F3306DE"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4.0 Learning Environments</w:t>
      </w:r>
    </w:p>
    <w:p w14:paraId="739B5B05"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 xml:space="preserve">The teacher works with others to create environments that support individual and collaborative learning, and that encourage positive social interaction, active engagement in learning, and </w:t>
      </w:r>
      <w:proofErr w:type="spellStart"/>
      <w:r w:rsidRPr="00A15DE7">
        <w:rPr>
          <w:rFonts w:ascii="Arial" w:eastAsia="Times New Roman" w:hAnsi="Arial" w:cs="Arial"/>
          <w:color w:val="333333"/>
          <w:sz w:val="20"/>
          <w:szCs w:val="20"/>
        </w:rPr>
        <w:t>self motivation</w:t>
      </w:r>
      <w:proofErr w:type="spellEnd"/>
      <w:r w:rsidRPr="00A15DE7">
        <w:rPr>
          <w:rFonts w:ascii="Arial" w:eastAsia="Times New Roman" w:hAnsi="Arial" w:cs="Arial"/>
          <w:color w:val="333333"/>
          <w:sz w:val="20"/>
          <w:szCs w:val="20"/>
        </w:rPr>
        <w:t>.</w:t>
      </w:r>
    </w:p>
    <w:p w14:paraId="29FFCFFF"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5.0 Content Knowledge</w:t>
      </w:r>
    </w:p>
    <w:p w14:paraId="55DB22CE"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lastRenderedPageBreak/>
        <w:t>The teacher understands the central concepts, tools of inquiry, and structures of the discipline(s) he or she teaches and creates learning experiences that make the discipline accessible and meaningful for learners to assure mastery of the content.</w:t>
      </w:r>
    </w:p>
    <w:p w14:paraId="52D32961"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6.0 Application of Content</w:t>
      </w:r>
    </w:p>
    <w:p w14:paraId="09E74156"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understands how to connect concepts and use differing perspectives to engage learners in critical thinking, creativity, and collaborative problem solving related to authentic local and global issues.</w:t>
      </w:r>
    </w:p>
    <w:p w14:paraId="07C24495"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7.0 Assessment</w:t>
      </w:r>
    </w:p>
    <w:p w14:paraId="42CDAE6B"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understands and uses multiple methods of assessment to engage learners in their own growth, to monitor learner progress, and to guide the teacher's and learner's decision making.</w:t>
      </w:r>
    </w:p>
    <w:p w14:paraId="67A911BD"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8.0 Planning for Instruction</w:t>
      </w:r>
    </w:p>
    <w:p w14:paraId="5C1A7BD1"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plans instruction that supports every student in meeting rigorous learning goals by drawing upon knowledge of content areas, curriculum, cross disciplinary skills, and pedagogy, as well as knowledge of learners and the community context.</w:t>
      </w:r>
    </w:p>
    <w:p w14:paraId="7F0CD9F0"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9.0 Instructional Strategies</w:t>
      </w:r>
    </w:p>
    <w:p w14:paraId="2B11C44D"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understands and uses a variety of instructional strategies to encourage learners to develop deep understanding of content areas and their connections, and to build skills to apply knowledge in meaningful ways.</w:t>
      </w:r>
    </w:p>
    <w:p w14:paraId="63A4780A"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10.0 Professional Learning and Ethical Practice</w:t>
      </w:r>
    </w:p>
    <w:p w14:paraId="379E0F12"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45B4ED8C" w14:textId="77777777" w:rsidR="00A15DE7" w:rsidRPr="00A15DE7" w:rsidRDefault="00A15DE7" w:rsidP="00A15DE7">
      <w:pPr>
        <w:shd w:val="clear" w:color="auto" w:fill="FFFFFF"/>
        <w:spacing w:before="269" w:after="269"/>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11.0 Leadership and Collaboration</w:t>
      </w:r>
    </w:p>
    <w:p w14:paraId="4909DCB0" w14:textId="77777777" w:rsidR="00A15DE7" w:rsidRPr="00A15DE7" w:rsidRDefault="00A15DE7" w:rsidP="00A15DE7">
      <w:pPr>
        <w:shd w:val="clear" w:color="auto" w:fill="FFFFFF"/>
        <w:spacing w:before="269" w:after="269"/>
        <w:ind w:firstLine="480"/>
        <w:jc w:val="both"/>
        <w:rPr>
          <w:rFonts w:ascii="Arial" w:eastAsia="Times New Roman" w:hAnsi="Arial" w:cs="Arial"/>
          <w:color w:val="333333"/>
          <w:sz w:val="20"/>
          <w:szCs w:val="20"/>
        </w:rPr>
      </w:pPr>
      <w:r w:rsidRPr="00A15DE7">
        <w:rPr>
          <w:rFonts w:ascii="Arial" w:eastAsia="Times New Roman" w:hAnsi="Arial" w:cs="Arial"/>
          <w:color w:val="333333"/>
          <w:sz w:val="20"/>
          <w:szCs w:val="20"/>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A643B0F" w14:textId="77777777" w:rsidR="00A15DE7" w:rsidRPr="00A15DE7" w:rsidRDefault="00A15DE7" w:rsidP="00A15DE7">
      <w:pPr>
        <w:shd w:val="clear" w:color="auto" w:fill="FFFFFF"/>
        <w:spacing w:before="269" w:after="269"/>
        <w:ind w:firstLine="800"/>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7 DE Reg. 75 (7/1/03)</w:t>
      </w:r>
    </w:p>
    <w:p w14:paraId="123A703D" w14:textId="77777777" w:rsidR="00A15DE7" w:rsidRPr="00A15DE7" w:rsidRDefault="00A15DE7" w:rsidP="00A15DE7">
      <w:pPr>
        <w:shd w:val="clear" w:color="auto" w:fill="FFFFFF"/>
        <w:spacing w:before="269" w:after="269"/>
        <w:ind w:firstLine="800"/>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Renumbered effective 6/1/07 (see Conversion Table)</w:t>
      </w:r>
    </w:p>
    <w:p w14:paraId="66F09A11" w14:textId="77777777" w:rsidR="00A15DE7" w:rsidRPr="00A15DE7" w:rsidRDefault="00A15DE7" w:rsidP="00A15DE7">
      <w:pPr>
        <w:shd w:val="clear" w:color="auto" w:fill="FFFFFF"/>
        <w:spacing w:before="269" w:after="269"/>
        <w:ind w:firstLine="800"/>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12 DE Reg. 1208 (03/01/09)</w:t>
      </w:r>
    </w:p>
    <w:p w14:paraId="37536A13" w14:textId="77777777" w:rsidR="00A15DE7" w:rsidRPr="00A15DE7" w:rsidRDefault="00A15DE7" w:rsidP="00A15DE7">
      <w:pPr>
        <w:shd w:val="clear" w:color="auto" w:fill="FFFFFF"/>
        <w:spacing w:before="269" w:after="269"/>
        <w:ind w:firstLine="800"/>
        <w:rPr>
          <w:rFonts w:ascii="Arial" w:eastAsia="Times New Roman" w:hAnsi="Arial" w:cs="Arial"/>
          <w:b/>
          <w:bCs/>
          <w:color w:val="333333"/>
          <w:sz w:val="20"/>
          <w:szCs w:val="20"/>
        </w:rPr>
      </w:pPr>
      <w:r w:rsidRPr="00A15DE7">
        <w:rPr>
          <w:rFonts w:ascii="Arial" w:eastAsia="Times New Roman" w:hAnsi="Arial" w:cs="Arial"/>
          <w:b/>
          <w:bCs/>
          <w:color w:val="333333"/>
          <w:sz w:val="20"/>
          <w:szCs w:val="20"/>
        </w:rPr>
        <w:t>16 DE Reg. 70 (07/01/12)</w:t>
      </w:r>
    </w:p>
    <w:p w14:paraId="161923F6" w14:textId="77777777" w:rsidR="00A15DE7" w:rsidRPr="00A15DE7" w:rsidRDefault="00A15DE7" w:rsidP="00A15DE7">
      <w:pPr>
        <w:rPr>
          <w:rFonts w:ascii="Times New Roman" w:eastAsia="Times New Roman" w:hAnsi="Times New Roman" w:cs="Times New Roman"/>
        </w:rPr>
      </w:pPr>
    </w:p>
    <w:p w14:paraId="08E727E5" w14:textId="77777777" w:rsidR="001B1137" w:rsidRDefault="001B1137"/>
    <w:sectPr w:rsidR="001B1137" w:rsidSect="0009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E7"/>
    <w:rsid w:val="00090ED5"/>
    <w:rsid w:val="001B1137"/>
    <w:rsid w:val="00A1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42ECF"/>
  <w15:chartTrackingRefBased/>
  <w15:docId w15:val="{A773A1B3-D769-4C4F-8C25-BA28ED61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5DE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DE7"/>
    <w:rPr>
      <w:rFonts w:ascii="Times New Roman" w:eastAsia="Times New Roman" w:hAnsi="Times New Roman" w:cs="Times New Roman"/>
      <w:b/>
      <w:bCs/>
      <w:sz w:val="27"/>
      <w:szCs w:val="27"/>
    </w:rPr>
  </w:style>
  <w:style w:type="paragraph" w:customStyle="1" w:styleId="chapter">
    <w:name w:val="chapter"/>
    <w:basedOn w:val="Normal"/>
    <w:rsid w:val="00A15DE7"/>
    <w:pPr>
      <w:spacing w:before="100" w:beforeAutospacing="1" w:after="100" w:afterAutospacing="1"/>
    </w:pPr>
    <w:rPr>
      <w:rFonts w:ascii="Times New Roman" w:eastAsia="Times New Roman" w:hAnsi="Times New Roman" w:cs="Times New Roman"/>
    </w:rPr>
  </w:style>
  <w:style w:type="paragraph" w:customStyle="1" w:styleId="title">
    <w:name w:val="title"/>
    <w:basedOn w:val="Normal"/>
    <w:rsid w:val="00A15DE7"/>
    <w:pPr>
      <w:spacing w:before="100" w:beforeAutospacing="1" w:after="100" w:afterAutospacing="1"/>
    </w:pPr>
    <w:rPr>
      <w:rFonts w:ascii="Times New Roman" w:eastAsia="Times New Roman" w:hAnsi="Times New Roman" w:cs="Times New Roman"/>
    </w:rPr>
  </w:style>
  <w:style w:type="paragraph" w:customStyle="1" w:styleId="body">
    <w:name w:val="body"/>
    <w:basedOn w:val="Normal"/>
    <w:rsid w:val="00A15DE7"/>
    <w:pPr>
      <w:spacing w:before="100" w:beforeAutospacing="1" w:after="100" w:afterAutospacing="1"/>
    </w:pPr>
    <w:rPr>
      <w:rFonts w:ascii="Times New Roman" w:eastAsia="Times New Roman" w:hAnsi="Times New Roman" w:cs="Times New Roman"/>
    </w:rPr>
  </w:style>
  <w:style w:type="paragraph" w:customStyle="1" w:styleId="section">
    <w:name w:val="section"/>
    <w:basedOn w:val="Normal"/>
    <w:rsid w:val="00A15DE7"/>
    <w:pPr>
      <w:spacing w:before="100" w:beforeAutospacing="1" w:after="100" w:afterAutospacing="1"/>
    </w:pPr>
    <w:rPr>
      <w:rFonts w:ascii="Times New Roman" w:eastAsia="Times New Roman" w:hAnsi="Times New Roman" w:cs="Times New Roman"/>
    </w:rPr>
  </w:style>
  <w:style w:type="paragraph" w:customStyle="1" w:styleId="body-l1">
    <w:name w:val="body-l1"/>
    <w:basedOn w:val="Normal"/>
    <w:rsid w:val="00A15DE7"/>
    <w:pPr>
      <w:spacing w:before="100" w:beforeAutospacing="1" w:after="100" w:afterAutospacing="1"/>
    </w:pPr>
    <w:rPr>
      <w:rFonts w:ascii="Times New Roman" w:eastAsia="Times New Roman" w:hAnsi="Times New Roman" w:cs="Times New Roman"/>
    </w:rPr>
  </w:style>
  <w:style w:type="paragraph" w:customStyle="1" w:styleId="citation">
    <w:name w:val="citation"/>
    <w:basedOn w:val="Normal"/>
    <w:rsid w:val="00A15DE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Deeley</dc:creator>
  <cp:keywords/>
  <dc:description/>
  <cp:lastModifiedBy>Brian Deeley</cp:lastModifiedBy>
  <cp:revision>1</cp:revision>
  <dcterms:created xsi:type="dcterms:W3CDTF">2025-08-12T19:51:00Z</dcterms:created>
  <dcterms:modified xsi:type="dcterms:W3CDTF">2025-08-12T19:52:00Z</dcterms:modified>
</cp:coreProperties>
</file>